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74" w:rsidRDefault="00530E74" w:rsidP="00530E74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0AD22B38" wp14:editId="3BD0AC1B">
            <wp:extent cx="2406015" cy="8255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0E74" w:rsidRDefault="00530E74" w:rsidP="00530E74">
      <w:pPr>
        <w:ind w:hanging="2"/>
        <w:rPr>
          <w:rFonts w:ascii="Arial" w:eastAsia="Arial" w:hAnsi="Arial" w:cs="Arial"/>
        </w:rPr>
      </w:pPr>
    </w:p>
    <w:tbl>
      <w:tblPr>
        <w:tblW w:w="1043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134"/>
        <w:gridCol w:w="2990"/>
        <w:gridCol w:w="2148"/>
        <w:gridCol w:w="3167"/>
      </w:tblGrid>
      <w:tr w:rsidR="00530E74" w:rsidTr="000C4287">
        <w:trPr>
          <w:trHeight w:val="843"/>
        </w:trPr>
        <w:tc>
          <w:tcPr>
            <w:tcW w:w="2134" w:type="dxa"/>
          </w:tcPr>
          <w:p w:rsidR="00530E74" w:rsidRDefault="00530E74" w:rsidP="00D13684">
            <w:pPr>
              <w:tabs>
                <w:tab w:val="left" w:pos="210"/>
              </w:tabs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Title</w:t>
            </w:r>
          </w:p>
        </w:tc>
        <w:tc>
          <w:tcPr>
            <w:tcW w:w="2990" w:type="dxa"/>
          </w:tcPr>
          <w:p w:rsidR="00530E74" w:rsidRPr="00530E74" w:rsidRDefault="00530E74" w:rsidP="00D13684">
            <w:pPr>
              <w:ind w:hanging="2"/>
              <w:rPr>
                <w:rFonts w:ascii="Arial" w:eastAsia="Arial" w:hAnsi="Arial" w:cs="Arial"/>
              </w:rPr>
            </w:pPr>
            <w:r w:rsidRPr="00530E74">
              <w:rPr>
                <w:rFonts w:ascii="Arial" w:hAnsi="Arial" w:cs="Arial"/>
              </w:rPr>
              <w:t>Grants and Foundations Coordinator</w:t>
            </w:r>
          </w:p>
        </w:tc>
        <w:tc>
          <w:tcPr>
            <w:tcW w:w="2148" w:type="dxa"/>
          </w:tcPr>
          <w:p w:rsidR="00530E74" w:rsidRDefault="00530E74" w:rsidP="00D136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Reports To</w:t>
            </w:r>
          </w:p>
        </w:tc>
        <w:tc>
          <w:tcPr>
            <w:tcW w:w="3167" w:type="dxa"/>
          </w:tcPr>
          <w:p w:rsidR="00530E74" w:rsidRDefault="00DC2B48" w:rsidP="004838A7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Donor Relations Manager</w:t>
            </w:r>
          </w:p>
        </w:tc>
      </w:tr>
      <w:tr w:rsidR="00530E74" w:rsidTr="000C4287">
        <w:trPr>
          <w:trHeight w:val="567"/>
        </w:trPr>
        <w:tc>
          <w:tcPr>
            <w:tcW w:w="2134" w:type="dxa"/>
          </w:tcPr>
          <w:p w:rsidR="00530E74" w:rsidRDefault="00530E74" w:rsidP="00D136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Department</w:t>
            </w:r>
          </w:p>
        </w:tc>
        <w:tc>
          <w:tcPr>
            <w:tcW w:w="2990" w:type="dxa"/>
          </w:tcPr>
          <w:p w:rsidR="00530E74" w:rsidRDefault="00530E74" w:rsidP="00D1368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APC</w:t>
            </w:r>
          </w:p>
        </w:tc>
        <w:tc>
          <w:tcPr>
            <w:tcW w:w="2148" w:type="dxa"/>
          </w:tcPr>
          <w:p w:rsidR="00530E74" w:rsidRDefault="00530E74" w:rsidP="00D13684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Classification</w:t>
            </w:r>
          </w:p>
        </w:tc>
        <w:tc>
          <w:tcPr>
            <w:tcW w:w="3167" w:type="dxa"/>
          </w:tcPr>
          <w:p w:rsidR="00530E74" w:rsidRDefault="00530E74" w:rsidP="00D1368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Full time salaried / non exempt </w:t>
            </w:r>
          </w:p>
        </w:tc>
      </w:tr>
    </w:tbl>
    <w:p w:rsidR="00530E74" w:rsidRDefault="00530E74" w:rsidP="00530E74">
      <w:pPr>
        <w:ind w:hanging="2"/>
        <w:rPr>
          <w:rFonts w:ascii="Arial" w:eastAsia="Arial" w:hAnsi="Arial" w:cs="Arial"/>
        </w:rPr>
      </w:pPr>
    </w:p>
    <w:tbl>
      <w:tblPr>
        <w:tblStyle w:val="TableGrid"/>
        <w:tblW w:w="9714" w:type="dxa"/>
        <w:tblInd w:w="-275" w:type="dxa"/>
        <w:tblLook w:val="04A0" w:firstRow="1" w:lastRow="0" w:firstColumn="1" w:lastColumn="0" w:noHBand="0" w:noVBand="1"/>
      </w:tblPr>
      <w:tblGrid>
        <w:gridCol w:w="9714"/>
      </w:tblGrid>
      <w:tr w:rsidR="001219E5" w:rsidTr="001219E5">
        <w:trPr>
          <w:trHeight w:val="421"/>
        </w:trPr>
        <w:tc>
          <w:tcPr>
            <w:tcW w:w="9714" w:type="dxa"/>
            <w:shd w:val="clear" w:color="auto" w:fill="BFBFBF" w:themeFill="background1" w:themeFillShade="BF"/>
          </w:tcPr>
          <w:p w:rsidR="001219E5" w:rsidRPr="001219E5" w:rsidRDefault="001219E5" w:rsidP="00BA0669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19E5">
              <w:rPr>
                <w:rFonts w:ascii="Arial" w:eastAsia="Arial" w:hAnsi="Arial" w:cs="Arial"/>
                <w:b/>
                <w:sz w:val="20"/>
                <w:szCs w:val="20"/>
              </w:rPr>
              <w:t>Job Summary</w:t>
            </w:r>
          </w:p>
        </w:tc>
      </w:tr>
    </w:tbl>
    <w:p w:rsidR="001219E5" w:rsidRDefault="001219E5" w:rsidP="00BA0669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1219E5" w:rsidRDefault="001219E5" w:rsidP="00BA0669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eastAsia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 xml:space="preserve">The Richmond Symphony makes music an integral part of the lives of those living, learning and working here by embracing the Richmond region’s unique vitality and diverse constituents. </w:t>
      </w: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eastAsia="Arial" w:hAnsi="Arial" w:cs="Arial"/>
          <w:sz w:val="22"/>
          <w:szCs w:val="22"/>
        </w:rPr>
      </w:pP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eastAsia="Arial" w:hAnsi="Arial" w:cs="Arial"/>
          <w:sz w:val="22"/>
          <w:szCs w:val="22"/>
        </w:rPr>
      </w:pPr>
      <w:r w:rsidRPr="003F56EE">
        <w:rPr>
          <w:rFonts w:ascii="Arial" w:eastAsia="Arial" w:hAnsi="Arial" w:cs="Arial"/>
          <w:sz w:val="22"/>
          <w:szCs w:val="22"/>
        </w:rPr>
        <w:t xml:space="preserve">The Richmond Symphony seeks a music loving and organized individual to serve as the </w:t>
      </w:r>
      <w:r>
        <w:rPr>
          <w:rFonts w:ascii="Arial" w:eastAsia="Arial" w:hAnsi="Arial" w:cs="Arial"/>
          <w:sz w:val="22"/>
          <w:szCs w:val="22"/>
        </w:rPr>
        <w:t xml:space="preserve">Grants and Foundations </w:t>
      </w:r>
      <w:r w:rsidR="000C4287">
        <w:rPr>
          <w:rFonts w:ascii="Arial" w:eastAsia="Arial" w:hAnsi="Arial" w:cs="Arial"/>
          <w:sz w:val="22"/>
          <w:szCs w:val="22"/>
        </w:rPr>
        <w:t>Coordinator</w:t>
      </w:r>
      <w:r w:rsidRPr="003F56EE">
        <w:rPr>
          <w:rFonts w:ascii="Arial" w:eastAsia="Arial" w:hAnsi="Arial" w:cs="Arial"/>
          <w:sz w:val="22"/>
          <w:szCs w:val="22"/>
        </w:rPr>
        <w:t xml:space="preserve"> to join its friendly advancement team. </w:t>
      </w: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eastAsia="Arial" w:hAnsi="Arial" w:cs="Arial"/>
          <w:sz w:val="22"/>
          <w:szCs w:val="22"/>
        </w:rPr>
      </w:pPr>
    </w:p>
    <w:p w:rsidR="001C011E" w:rsidRPr="003F56EE" w:rsidRDefault="000C4287" w:rsidP="001C011E">
      <w:pPr>
        <w:autoSpaceDE w:val="0"/>
        <w:autoSpaceDN w:val="0"/>
        <w:adjustRightInd w:val="0"/>
        <w:ind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position sits within the Advancement team, (</w:t>
      </w:r>
      <w:r w:rsidRPr="003F56EE">
        <w:rPr>
          <w:rFonts w:ascii="Arial" w:hAnsi="Arial" w:cs="Arial"/>
          <w:sz w:val="22"/>
          <w:szCs w:val="22"/>
        </w:rPr>
        <w:t xml:space="preserve">part of the Advancement and Patron Communications </w:t>
      </w:r>
      <w:r>
        <w:rPr>
          <w:rFonts w:ascii="Arial" w:hAnsi="Arial" w:cs="Arial"/>
          <w:sz w:val="22"/>
          <w:szCs w:val="22"/>
        </w:rPr>
        <w:t>department</w:t>
      </w:r>
      <w:r w:rsidRPr="003F56E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is responsible for the Symphony’s foundation and government grantor relationships, funding applications and reports with a</w:t>
      </w:r>
      <w:r w:rsidR="00DC2B48">
        <w:rPr>
          <w:rFonts w:ascii="Arial" w:hAnsi="Arial" w:cs="Arial"/>
          <w:sz w:val="22"/>
          <w:szCs w:val="22"/>
        </w:rPr>
        <w:t>n annual</w:t>
      </w:r>
      <w:r>
        <w:rPr>
          <w:rFonts w:ascii="Arial" w:hAnsi="Arial" w:cs="Arial"/>
          <w:sz w:val="22"/>
          <w:szCs w:val="22"/>
        </w:rPr>
        <w:t xml:space="preserve"> goal of </w:t>
      </w:r>
      <w:r w:rsidR="00DC2B48">
        <w:rPr>
          <w:rFonts w:ascii="Arial" w:hAnsi="Arial" w:cs="Arial"/>
          <w:sz w:val="22"/>
          <w:szCs w:val="22"/>
        </w:rPr>
        <w:t>$600,000 or more</w:t>
      </w:r>
      <w:r>
        <w:rPr>
          <w:rFonts w:ascii="Arial" w:hAnsi="Arial" w:cs="Arial"/>
          <w:sz w:val="22"/>
          <w:szCs w:val="22"/>
        </w:rPr>
        <w:t>, seeking new funders, and assisting the organization and advancement team with other duties to reach its annual fund goal.</w:t>
      </w: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hAnsi="Arial" w:cs="Arial"/>
          <w:sz w:val="22"/>
          <w:szCs w:val="22"/>
        </w:rPr>
      </w:pPr>
    </w:p>
    <w:p w:rsidR="001C011E" w:rsidRPr="007540DF" w:rsidRDefault="001C011E" w:rsidP="001C011E">
      <w:pPr>
        <w:shd w:val="clear" w:color="auto" w:fill="FFFFFF"/>
        <w:ind w:hanging="2"/>
        <w:rPr>
          <w:rFonts w:ascii="Arial" w:hAnsi="Arial" w:cs="Arial"/>
          <w:color w:val="222222"/>
          <w:sz w:val="22"/>
          <w:szCs w:val="22"/>
        </w:rPr>
      </w:pPr>
      <w:r w:rsidRPr="007540DF">
        <w:rPr>
          <w:rFonts w:ascii="Arial" w:hAnsi="Arial" w:cs="Arial"/>
          <w:color w:val="222222"/>
          <w:sz w:val="22"/>
          <w:szCs w:val="22"/>
        </w:rPr>
        <w:t>The Richmond Symphony is an Equal Opportunity Employer. The Symphony embraces diversity and equal opportunity in a serious way. We are committed to building a team that represents a variety of backgrounds, perspectives and skills.</w:t>
      </w:r>
    </w:p>
    <w:p w:rsidR="001C011E" w:rsidRPr="003F56EE" w:rsidRDefault="001C011E" w:rsidP="001C011E">
      <w:pPr>
        <w:autoSpaceDE w:val="0"/>
        <w:autoSpaceDN w:val="0"/>
        <w:adjustRightInd w:val="0"/>
        <w:ind w:hanging="2"/>
        <w:rPr>
          <w:rFonts w:ascii="Arial" w:hAnsi="Arial" w:cs="Arial"/>
          <w:sz w:val="22"/>
          <w:szCs w:val="22"/>
        </w:rPr>
      </w:pPr>
    </w:p>
    <w:p w:rsidR="00BA0669" w:rsidRPr="001219E5" w:rsidRDefault="00BA0669" w:rsidP="00BA06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9E5" w:rsidRPr="002E74CC" w:rsidRDefault="001219E5" w:rsidP="001219E5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958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4"/>
      </w:tblGrid>
      <w:tr w:rsidR="001219E5" w:rsidRPr="002E74CC" w:rsidTr="001219E5">
        <w:trPr>
          <w:trHeight w:val="260"/>
        </w:trPr>
        <w:tc>
          <w:tcPr>
            <w:tcW w:w="9584" w:type="dxa"/>
            <w:shd w:val="clear" w:color="auto" w:fill="CCCCCC"/>
          </w:tcPr>
          <w:p w:rsidR="001219E5" w:rsidRDefault="001219E5" w:rsidP="001C011E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E74CC">
              <w:rPr>
                <w:rFonts w:ascii="Arial" w:eastAsia="Arial" w:hAnsi="Arial" w:cs="Arial"/>
                <w:b/>
                <w:sz w:val="20"/>
                <w:szCs w:val="20"/>
              </w:rPr>
              <w:t>Responsibilities</w:t>
            </w:r>
          </w:p>
          <w:p w:rsidR="001C011E" w:rsidRPr="002E74CC" w:rsidRDefault="001C011E" w:rsidP="001C011E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A0669" w:rsidRPr="001219E5" w:rsidRDefault="00BA0669" w:rsidP="00BA06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A0669" w:rsidRPr="000C4287" w:rsidRDefault="000C4287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R</w:t>
      </w:r>
      <w:r w:rsidR="00BA0669" w:rsidRPr="000C4287">
        <w:rPr>
          <w:rFonts w:ascii="Arial" w:hAnsi="Arial" w:cs="Arial"/>
          <w:bCs/>
          <w:color w:val="000000"/>
          <w:sz w:val="22"/>
          <w:szCs w:val="22"/>
        </w:rPr>
        <w:t xml:space="preserve">esearch and write grant applications </w:t>
      </w:r>
      <w:r w:rsidRPr="000C4287">
        <w:rPr>
          <w:rFonts w:ascii="Arial" w:hAnsi="Arial" w:cs="Arial"/>
          <w:bCs/>
          <w:color w:val="000000"/>
          <w:sz w:val="22"/>
          <w:szCs w:val="22"/>
        </w:rPr>
        <w:t>with a revenue goal of at least $600,000</w:t>
      </w:r>
    </w:p>
    <w:p w:rsidR="001219E5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Manage the tracking of existing grants and reporting through the</w:t>
      </w:r>
      <w:r w:rsidR="001219E5" w:rsidRPr="000C4287">
        <w:rPr>
          <w:rFonts w:ascii="Arial" w:hAnsi="Arial" w:cs="Arial"/>
          <w:bCs/>
          <w:color w:val="000000"/>
          <w:sz w:val="22"/>
          <w:szCs w:val="22"/>
        </w:rPr>
        <w:t xml:space="preserve"> organization’s donor database</w:t>
      </w:r>
    </w:p>
    <w:p w:rsidR="00BA0669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Seek additional grant opportunities as appropriate</w:t>
      </w:r>
    </w:p>
    <w:p w:rsidR="00BA0669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 xml:space="preserve">Prepare renewal grants as applicable with local, state and federal government agencies </w:t>
      </w:r>
    </w:p>
    <w:p w:rsidR="00BA0669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Edit draft applications for accuracy and completeness in accordance with grant requirements</w:t>
      </w:r>
    </w:p>
    <w:p w:rsidR="00BA0669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Work collaboratively with Advancement and other departmental staff to implement funding strategies</w:t>
      </w:r>
    </w:p>
    <w:p w:rsidR="001219E5" w:rsidRPr="000C4287" w:rsidRDefault="001219E5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 xml:space="preserve">Cultivate giving opportunities with local associations such as Rotary Clubs, </w:t>
      </w:r>
      <w:r w:rsidR="00CE38C3">
        <w:rPr>
          <w:rFonts w:ascii="Arial" w:hAnsi="Arial" w:cs="Arial"/>
          <w:bCs/>
          <w:color w:val="000000"/>
          <w:sz w:val="22"/>
          <w:szCs w:val="22"/>
        </w:rPr>
        <w:t xml:space="preserve">Kiwanis </w:t>
      </w:r>
      <w:proofErr w:type="spellStart"/>
      <w:r w:rsidR="00CE38C3">
        <w:rPr>
          <w:rFonts w:ascii="Arial" w:hAnsi="Arial" w:cs="Arial"/>
          <w:bCs/>
          <w:color w:val="000000"/>
          <w:sz w:val="22"/>
          <w:szCs w:val="22"/>
        </w:rPr>
        <w:t>etc</w:t>
      </w:r>
      <w:proofErr w:type="spellEnd"/>
    </w:p>
    <w:p w:rsidR="00BA0669" w:rsidRPr="000C4287" w:rsidRDefault="00BA0669" w:rsidP="001219E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 xml:space="preserve">Prepare reports as required by </w:t>
      </w:r>
      <w:r w:rsidR="00CE38C3">
        <w:rPr>
          <w:rFonts w:ascii="Arial" w:hAnsi="Arial" w:cs="Arial"/>
          <w:bCs/>
          <w:color w:val="000000"/>
          <w:sz w:val="22"/>
          <w:szCs w:val="22"/>
        </w:rPr>
        <w:t>funders</w:t>
      </w:r>
    </w:p>
    <w:p w:rsidR="001219E5" w:rsidRPr="000C4287" w:rsidRDefault="001219E5" w:rsidP="001219E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Organize volunteer opportunities for solicitations and cultivation processes, e.g. envelope stuffing, phone banking, etc.</w:t>
      </w:r>
    </w:p>
    <w:p w:rsidR="001219E5" w:rsidRPr="000C4287" w:rsidRDefault="001219E5" w:rsidP="001219E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lastRenderedPageBreak/>
        <w:t>Provide staff support to select Board meetings and committees including:</w:t>
      </w:r>
    </w:p>
    <w:p w:rsidR="001219E5" w:rsidRPr="000C4287" w:rsidRDefault="001219E5" w:rsidP="001219E5">
      <w:pPr>
        <w:numPr>
          <w:ilvl w:val="2"/>
          <w:numId w:val="7"/>
        </w:numPr>
        <w:suppressAutoHyphens/>
        <w:spacing w:line="1" w:lineRule="atLeast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>Coordinating meetings both in person and online via Zoom</w:t>
      </w:r>
    </w:p>
    <w:p w:rsidR="001219E5" w:rsidRPr="000C4287" w:rsidRDefault="001219E5" w:rsidP="001219E5">
      <w:pPr>
        <w:numPr>
          <w:ilvl w:val="2"/>
          <w:numId w:val="7"/>
        </w:numPr>
        <w:suppressAutoHyphens/>
        <w:spacing w:line="1" w:lineRule="atLeast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>Recording and distributing minutes for both Board and committee meetings</w:t>
      </w:r>
    </w:p>
    <w:p w:rsidR="001219E5" w:rsidRPr="000C4287" w:rsidRDefault="001219E5" w:rsidP="001219E5">
      <w:pPr>
        <w:numPr>
          <w:ilvl w:val="2"/>
          <w:numId w:val="7"/>
        </w:numPr>
        <w:suppressAutoHyphens/>
        <w:spacing w:line="1" w:lineRule="atLeast"/>
        <w:textDirection w:val="btLr"/>
        <w:textAlignment w:val="top"/>
        <w:outlineLvl w:val="0"/>
        <w:rPr>
          <w:rFonts w:ascii="Arial" w:eastAsia="Arial" w:hAnsi="Arial" w:cs="Arial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>Distributing electronic material and other correspondence needed in advance of Board and committee meetings</w:t>
      </w:r>
    </w:p>
    <w:p w:rsidR="001219E5" w:rsidRDefault="001219E5" w:rsidP="001219E5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Maintain a visible presence at concerts and cultivation events as appropriate</w:t>
      </w:r>
    </w:p>
    <w:p w:rsidR="00CE38C3" w:rsidRPr="000C4287" w:rsidRDefault="00CE38C3" w:rsidP="00CE38C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Support the advancement team with special events and other fundraising activities</w:t>
      </w:r>
    </w:p>
    <w:p w:rsidR="00CE38C3" w:rsidRPr="000C4287" w:rsidRDefault="00CE38C3" w:rsidP="00CE38C3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BA0669" w:rsidRPr="000C4287" w:rsidRDefault="00BA0669" w:rsidP="00BA0669">
      <w:pPr>
        <w:rPr>
          <w:rFonts w:ascii="Arial" w:hAnsi="Arial" w:cs="Arial"/>
          <w:sz w:val="22"/>
          <w:szCs w:val="22"/>
        </w:rPr>
      </w:pPr>
    </w:p>
    <w:tbl>
      <w:tblPr>
        <w:tblW w:w="96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9"/>
      </w:tblGrid>
      <w:tr w:rsidR="00BA0669" w:rsidRPr="000C4287" w:rsidTr="001219E5">
        <w:trPr>
          <w:trHeight w:val="348"/>
        </w:trPr>
        <w:tc>
          <w:tcPr>
            <w:tcW w:w="9629" w:type="dxa"/>
            <w:shd w:val="clear" w:color="auto" w:fill="CCCCCC"/>
          </w:tcPr>
          <w:p w:rsidR="00BA0669" w:rsidRPr="000C4287" w:rsidRDefault="001219E5" w:rsidP="002F04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428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  <w:p w:rsidR="00BA0669" w:rsidRPr="000C4287" w:rsidRDefault="00BA0669" w:rsidP="002F04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A0669" w:rsidRPr="000C4287" w:rsidRDefault="00BA0669" w:rsidP="00BA06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0669" w:rsidRPr="000C4287" w:rsidRDefault="00BA0669" w:rsidP="00BA06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0669" w:rsidRPr="000C4287" w:rsidRDefault="00BA0669" w:rsidP="00BA066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 xml:space="preserve">At least </w:t>
      </w:r>
      <w:r w:rsidR="001219E5" w:rsidRPr="000C4287">
        <w:rPr>
          <w:rFonts w:ascii="Arial" w:hAnsi="Arial" w:cs="Arial"/>
          <w:bCs/>
          <w:color w:val="000000"/>
          <w:sz w:val="22"/>
          <w:szCs w:val="22"/>
        </w:rPr>
        <w:t>1</w:t>
      </w:r>
      <w:r w:rsidRPr="000C4287">
        <w:rPr>
          <w:rFonts w:ascii="Arial" w:hAnsi="Arial" w:cs="Arial"/>
          <w:bCs/>
          <w:color w:val="000000"/>
          <w:sz w:val="22"/>
          <w:szCs w:val="22"/>
        </w:rPr>
        <w:t xml:space="preserve"> year’s proven track record of writing and delivering grant applications for non-profit organizations (arts prefer</w:t>
      </w:r>
      <w:r w:rsidR="00CE38C3">
        <w:rPr>
          <w:rFonts w:ascii="Arial" w:hAnsi="Arial" w:cs="Arial"/>
          <w:bCs/>
          <w:color w:val="000000"/>
          <w:sz w:val="22"/>
          <w:szCs w:val="22"/>
        </w:rPr>
        <w:t>red</w:t>
      </w:r>
      <w:r w:rsidRPr="000C4287">
        <w:rPr>
          <w:rFonts w:ascii="Arial" w:hAnsi="Arial" w:cs="Arial"/>
          <w:bCs/>
          <w:color w:val="000000"/>
          <w:sz w:val="22"/>
          <w:szCs w:val="22"/>
        </w:rPr>
        <w:t>)</w:t>
      </w:r>
    </w:p>
    <w:p w:rsidR="00BA0669" w:rsidRPr="000C4287" w:rsidRDefault="00CE38C3" w:rsidP="00BA066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Experience of</w:t>
      </w:r>
      <w:r w:rsidR="00BA0669" w:rsidRPr="000C4287">
        <w:rPr>
          <w:rFonts w:ascii="Arial" w:hAnsi="Arial" w:cs="Arial"/>
          <w:bCs/>
          <w:color w:val="000000"/>
          <w:sz w:val="22"/>
          <w:szCs w:val="22"/>
        </w:rPr>
        <w:t xml:space="preserve"> Greater Richmond and Virginia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government and foundation funders desirable </w:t>
      </w:r>
    </w:p>
    <w:p w:rsidR="00BA0669" w:rsidRPr="000C4287" w:rsidRDefault="00BA0669" w:rsidP="00BA066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C4287">
        <w:rPr>
          <w:rFonts w:ascii="Arial" w:hAnsi="Arial" w:cs="Arial"/>
          <w:bCs/>
          <w:color w:val="000000"/>
          <w:sz w:val="22"/>
          <w:szCs w:val="22"/>
        </w:rPr>
        <w:t>Strong project/time management skills</w:t>
      </w:r>
    </w:p>
    <w:p w:rsidR="00BA0669" w:rsidRPr="000C4287" w:rsidRDefault="00BA0669" w:rsidP="00BA066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Excellent verbal and written skills</w:t>
      </w:r>
    </w:p>
    <w:p w:rsidR="00BA0669" w:rsidRPr="000C4287" w:rsidRDefault="00BA0669" w:rsidP="00BA066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Excellent software skills in Google and Microsoft programs</w:t>
      </w:r>
    </w:p>
    <w:p w:rsidR="00BA0669" w:rsidRPr="000C4287" w:rsidRDefault="00BA0669" w:rsidP="00BA06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Commitment to the principles of teamwork and shared responsibility</w:t>
      </w:r>
    </w:p>
    <w:p w:rsidR="00BA0669" w:rsidRPr="000C4287" w:rsidRDefault="00BA0669" w:rsidP="00BA06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Ability to act with discretion in handling confidential conversations, correspondence and records</w:t>
      </w:r>
    </w:p>
    <w:p w:rsidR="00BA0669" w:rsidRPr="000C4287" w:rsidRDefault="00BA0669" w:rsidP="00BA06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 xml:space="preserve">Ability to relate to a diverse group of people including staff, </w:t>
      </w:r>
      <w:r w:rsidR="00CE38C3">
        <w:rPr>
          <w:rFonts w:ascii="Arial" w:hAnsi="Arial" w:cs="Arial"/>
          <w:sz w:val="22"/>
          <w:szCs w:val="22"/>
        </w:rPr>
        <w:t xml:space="preserve">musicians, members of the board and foundation, </w:t>
      </w:r>
      <w:r w:rsidRPr="000C4287">
        <w:rPr>
          <w:rFonts w:ascii="Arial" w:hAnsi="Arial" w:cs="Arial"/>
          <w:sz w:val="22"/>
          <w:szCs w:val="22"/>
        </w:rPr>
        <w:t>and community members</w:t>
      </w:r>
    </w:p>
    <w:p w:rsidR="00BA0669" w:rsidRDefault="00BA0669" w:rsidP="00BA06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4287">
        <w:rPr>
          <w:rFonts w:ascii="Arial" w:hAnsi="Arial" w:cs="Arial"/>
          <w:sz w:val="22"/>
          <w:szCs w:val="22"/>
        </w:rPr>
        <w:t>Experience working in customer relationship management (CRM) systems</w:t>
      </w:r>
      <w:r w:rsidR="00CE38C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E38C3">
        <w:rPr>
          <w:rFonts w:ascii="Arial" w:hAnsi="Arial" w:cs="Arial"/>
          <w:sz w:val="22"/>
          <w:szCs w:val="22"/>
        </w:rPr>
        <w:t>Bloomerang</w:t>
      </w:r>
      <w:proofErr w:type="spellEnd"/>
      <w:r w:rsidR="00CE38C3">
        <w:rPr>
          <w:rFonts w:ascii="Arial" w:hAnsi="Arial" w:cs="Arial"/>
          <w:sz w:val="22"/>
          <w:szCs w:val="22"/>
        </w:rPr>
        <w:t xml:space="preserve"> preferred)</w:t>
      </w:r>
    </w:p>
    <w:p w:rsidR="00CE38C3" w:rsidRPr="000C4287" w:rsidRDefault="00CE38C3" w:rsidP="00BA066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with classical music preferred</w:t>
      </w:r>
    </w:p>
    <w:p w:rsidR="00BA0669" w:rsidRPr="000C4287" w:rsidRDefault="00BA0669" w:rsidP="00BA06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0669" w:rsidRPr="000C4287" w:rsidRDefault="00BA0669" w:rsidP="00BA0669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0C428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6462CB" wp14:editId="672EDBFD">
                <wp:simplePos x="0" y="0"/>
                <wp:positionH relativeFrom="column">
                  <wp:posOffset>-114300</wp:posOffset>
                </wp:positionH>
                <wp:positionV relativeFrom="paragraph">
                  <wp:posOffset>118745</wp:posOffset>
                </wp:positionV>
                <wp:extent cx="5905500" cy="2381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38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7C0F" id="Rectangle 2" o:spid="_x0000_s1026" style="position:absolute;margin-left:-9pt;margin-top:9.35pt;width:46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" fillcolor="silver"/>
            </w:pict>
          </mc:Fallback>
        </mc:AlternateContent>
      </w:r>
    </w:p>
    <w:p w:rsidR="00BA0669" w:rsidRPr="000C4287" w:rsidRDefault="00BA0669" w:rsidP="00BA0669">
      <w:pPr>
        <w:rPr>
          <w:rFonts w:ascii="Arial" w:hAnsi="Arial" w:cs="Arial"/>
          <w:b/>
          <w:sz w:val="22"/>
          <w:szCs w:val="22"/>
        </w:rPr>
      </w:pPr>
      <w:r w:rsidRPr="000C4287">
        <w:rPr>
          <w:rFonts w:ascii="Arial" w:hAnsi="Arial" w:cs="Arial"/>
          <w:b/>
          <w:sz w:val="22"/>
          <w:szCs w:val="22"/>
        </w:rPr>
        <w:t>Environment</w:t>
      </w:r>
    </w:p>
    <w:p w:rsidR="00BA0669" w:rsidRPr="000C4287" w:rsidRDefault="00BA0669" w:rsidP="00BA0669">
      <w:pPr>
        <w:rPr>
          <w:rFonts w:ascii="Arial" w:hAnsi="Arial" w:cs="Arial"/>
          <w:i/>
          <w:iCs/>
          <w:sz w:val="22"/>
          <w:szCs w:val="22"/>
        </w:rPr>
      </w:pPr>
    </w:p>
    <w:p w:rsidR="00BA0669" w:rsidRPr="000C4287" w:rsidRDefault="00BA0669" w:rsidP="00BA0669">
      <w:pPr>
        <w:rPr>
          <w:rFonts w:ascii="Arial" w:hAnsi="Arial" w:cs="Arial"/>
          <w:sz w:val="22"/>
          <w:szCs w:val="22"/>
        </w:rPr>
      </w:pPr>
    </w:p>
    <w:p w:rsidR="00530E74" w:rsidRPr="000C4287" w:rsidRDefault="00530E74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color w:val="000000"/>
          <w:sz w:val="22"/>
          <w:szCs w:val="22"/>
        </w:rPr>
        <w:t>Position will a dedicated have work space in the Richmond Symphony office</w:t>
      </w:r>
    </w:p>
    <w:p w:rsidR="001219E5" w:rsidRPr="000C4287" w:rsidRDefault="001219E5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color w:val="000000"/>
          <w:sz w:val="22"/>
          <w:szCs w:val="22"/>
        </w:rPr>
        <w:t>F</w:t>
      </w:r>
      <w:r w:rsidR="00530E74" w:rsidRPr="000C4287">
        <w:rPr>
          <w:rFonts w:ascii="Arial" w:eastAsia="Arial" w:hAnsi="Arial" w:cs="Arial"/>
          <w:color w:val="000000"/>
          <w:sz w:val="22"/>
          <w:szCs w:val="22"/>
        </w:rPr>
        <w:t>lexibility regarding remote working is available</w:t>
      </w:r>
      <w:r w:rsidR="00CE38C3">
        <w:rPr>
          <w:rFonts w:ascii="Arial" w:eastAsia="Arial" w:hAnsi="Arial" w:cs="Arial"/>
          <w:color w:val="000000"/>
          <w:sz w:val="22"/>
          <w:szCs w:val="22"/>
        </w:rPr>
        <w:t xml:space="preserve"> – two days per week are required in office </w:t>
      </w:r>
    </w:p>
    <w:p w:rsidR="00530E74" w:rsidRPr="000C4287" w:rsidRDefault="00530E74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color w:val="000000"/>
          <w:sz w:val="22"/>
          <w:szCs w:val="22"/>
        </w:rPr>
        <w:t>Work is performed in a friendly and fast paced hybrid office environment.</w:t>
      </w:r>
    </w:p>
    <w:p w:rsidR="00CE38C3" w:rsidRDefault="00530E74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CE38C3">
        <w:rPr>
          <w:rFonts w:ascii="Arial" w:eastAsia="Arial" w:hAnsi="Arial" w:cs="Arial"/>
          <w:color w:val="000000"/>
          <w:sz w:val="22"/>
          <w:szCs w:val="22"/>
        </w:rPr>
        <w:t xml:space="preserve">Attendance and participation at concerts, events and activities will be expected </w:t>
      </w:r>
    </w:p>
    <w:p w:rsidR="00DC2B48" w:rsidRPr="00DC2B48" w:rsidRDefault="00DC2B48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DC2B48">
        <w:rPr>
          <w:rFonts w:ascii="Arial" w:hAnsi="Arial" w:cs="Arial"/>
          <w:color w:val="222222"/>
          <w:sz w:val="22"/>
          <w:szCs w:val="22"/>
          <w:shd w:val="clear" w:color="auto" w:fill="FFFFFF"/>
        </w:rPr>
        <w:t>Benefits include health insurance, self-funded dental insurance, 403(b) account, paid time off, optional instrument insurance, free parking</w:t>
      </w:r>
    </w:p>
    <w:p w:rsidR="00530E74" w:rsidRPr="000C4287" w:rsidRDefault="00530E74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>Salary $36,000 - $38,000</w:t>
      </w:r>
    </w:p>
    <w:p w:rsidR="00CE38C3" w:rsidRPr="00CE38C3" w:rsidRDefault="004838A7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 xml:space="preserve">To apply please send a cover letter and resume to </w:t>
      </w:r>
      <w:hyperlink r:id="rId8" w:history="1">
        <w:r w:rsidRPr="000C4287">
          <w:rPr>
            <w:rStyle w:val="Hyperlink"/>
            <w:rFonts w:ascii="Arial" w:eastAsia="Arial" w:hAnsi="Arial" w:cs="Arial"/>
            <w:sz w:val="22"/>
            <w:szCs w:val="22"/>
          </w:rPr>
          <w:t>development@richmondsymphony.com</w:t>
        </w:r>
      </w:hyperlink>
    </w:p>
    <w:p w:rsidR="004838A7" w:rsidRPr="000C4287" w:rsidRDefault="004838A7" w:rsidP="00530E74">
      <w:pPr>
        <w:numPr>
          <w:ilvl w:val="0"/>
          <w:numId w:val="4"/>
        </w:numPr>
        <w:suppressAutoHyphens/>
        <w:spacing w:line="276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sz w:val="22"/>
          <w:szCs w:val="22"/>
        </w:rPr>
      </w:pPr>
      <w:r w:rsidRPr="000C4287">
        <w:rPr>
          <w:rFonts w:ascii="Arial" w:eastAsia="Arial" w:hAnsi="Arial" w:cs="Arial"/>
          <w:sz w:val="22"/>
          <w:szCs w:val="22"/>
        </w:rPr>
        <w:t>The position will remain open until filled.</w:t>
      </w:r>
    </w:p>
    <w:p w:rsidR="004D227A" w:rsidRPr="000C4287" w:rsidRDefault="004D227A">
      <w:pPr>
        <w:rPr>
          <w:sz w:val="22"/>
          <w:szCs w:val="22"/>
        </w:rPr>
      </w:pPr>
      <w:bookmarkStart w:id="0" w:name="_GoBack"/>
      <w:bookmarkEnd w:id="0"/>
    </w:p>
    <w:sectPr w:rsidR="004D227A" w:rsidRPr="000C4287" w:rsidSect="000C42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F5" w:rsidRDefault="00297EF5" w:rsidP="004838A7">
      <w:r>
        <w:separator/>
      </w:r>
    </w:p>
  </w:endnote>
  <w:endnote w:type="continuationSeparator" w:id="0">
    <w:p w:rsidR="00297EF5" w:rsidRDefault="00297EF5" w:rsidP="0048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A7" w:rsidRPr="004838A7" w:rsidRDefault="004838A7">
    <w:pPr>
      <w:pStyle w:val="Footer"/>
      <w:rPr>
        <w:rFonts w:ascii="Arial" w:hAnsi="Arial" w:cs="Arial"/>
        <w:sz w:val="16"/>
        <w:szCs w:val="16"/>
      </w:rPr>
    </w:pPr>
    <w:r w:rsidRPr="004838A7">
      <w:rPr>
        <w:rFonts w:ascii="Arial" w:hAnsi="Arial" w:cs="Arial"/>
        <w:sz w:val="16"/>
        <w:szCs w:val="16"/>
      </w:rPr>
      <w:t>Richmond Symphony Grants and Foundations Coordinator JD June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F5" w:rsidRDefault="00297EF5" w:rsidP="004838A7">
      <w:r>
        <w:separator/>
      </w:r>
    </w:p>
  </w:footnote>
  <w:footnote w:type="continuationSeparator" w:id="0">
    <w:p w:rsidR="00297EF5" w:rsidRDefault="00297EF5" w:rsidP="0048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C59"/>
    <w:multiLevelType w:val="hybridMultilevel"/>
    <w:tmpl w:val="74D4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1D16"/>
    <w:multiLevelType w:val="hybridMultilevel"/>
    <w:tmpl w:val="142C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3344"/>
    <w:multiLevelType w:val="hybridMultilevel"/>
    <w:tmpl w:val="F912F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81AF0"/>
    <w:multiLevelType w:val="multilevel"/>
    <w:tmpl w:val="35963F46"/>
    <w:lvl w:ilvl="0">
      <w:start w:val="110400840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FFD2AE7"/>
    <w:multiLevelType w:val="multilevel"/>
    <w:tmpl w:val="496414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2075F06"/>
    <w:multiLevelType w:val="multilevel"/>
    <w:tmpl w:val="6B58A4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1EC4399"/>
    <w:multiLevelType w:val="hybridMultilevel"/>
    <w:tmpl w:val="0A9A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9"/>
    <w:rsid w:val="00043767"/>
    <w:rsid w:val="000C4287"/>
    <w:rsid w:val="001219E5"/>
    <w:rsid w:val="00174925"/>
    <w:rsid w:val="001C011E"/>
    <w:rsid w:val="002632B1"/>
    <w:rsid w:val="00297EF5"/>
    <w:rsid w:val="003C6EA6"/>
    <w:rsid w:val="004838A7"/>
    <w:rsid w:val="004D227A"/>
    <w:rsid w:val="00530E74"/>
    <w:rsid w:val="00BA0669"/>
    <w:rsid w:val="00BC6CBF"/>
    <w:rsid w:val="00CE38C3"/>
    <w:rsid w:val="00DC2B48"/>
    <w:rsid w:val="00E367B4"/>
    <w:rsid w:val="00E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251AB-5B76-468C-969E-5466F7CF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669"/>
    <w:pPr>
      <w:ind w:left="720"/>
      <w:contextualSpacing/>
    </w:pPr>
  </w:style>
  <w:style w:type="table" w:styleId="TableGrid">
    <w:name w:val="Table Grid"/>
    <w:basedOn w:val="TableNormal"/>
    <w:uiPriority w:val="39"/>
    <w:rsid w:val="0012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8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richmondsymphon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Sterling</dc:creator>
  <cp:keywords/>
  <dc:description/>
  <cp:lastModifiedBy>Frances Sterling</cp:lastModifiedBy>
  <cp:revision>7</cp:revision>
  <cp:lastPrinted>2022-06-23T23:06:00Z</cp:lastPrinted>
  <dcterms:created xsi:type="dcterms:W3CDTF">2022-06-21T20:31:00Z</dcterms:created>
  <dcterms:modified xsi:type="dcterms:W3CDTF">2022-06-29T21:41:00Z</dcterms:modified>
</cp:coreProperties>
</file>